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61" w:rsidRPr="006B2E83" w:rsidRDefault="00833B55" w:rsidP="00833B55">
      <w:pPr>
        <w:keepLines/>
        <w:numPr>
          <w:ilvl w:val="0"/>
          <w:numId w:val="3"/>
        </w:numPr>
        <w:tabs>
          <w:tab w:val="num" w:pos="84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Text11"/>
      <w:bookmarkStart w:id="1" w:name="_GoBack"/>
      <w:bookmarkEnd w:id="1"/>
      <w:r w:rsidRPr="006B2E83">
        <w:rPr>
          <w:rFonts w:ascii="Arial" w:hAnsi="Arial" w:cs="Arial"/>
          <w:sz w:val="22"/>
          <w:szCs w:val="22"/>
        </w:rPr>
        <w:t xml:space="preserve">The </w:t>
      </w:r>
      <w:r w:rsidR="00565061" w:rsidRPr="006B2E83">
        <w:rPr>
          <w:rFonts w:ascii="Arial" w:hAnsi="Arial" w:cs="Arial"/>
          <w:i/>
          <w:color w:val="auto"/>
          <w:sz w:val="22"/>
          <w:szCs w:val="22"/>
        </w:rPr>
        <w:t>Industrial Relations (Fair Work Harmonisation No. 2) and Other Acts Amendment Bill 2013</w:t>
      </w:r>
      <w:r w:rsidR="00565061" w:rsidRPr="006B2E83">
        <w:rPr>
          <w:rFonts w:ascii="Arial" w:hAnsi="Arial" w:cs="Arial"/>
          <w:color w:val="auto"/>
          <w:sz w:val="22"/>
          <w:szCs w:val="22"/>
        </w:rPr>
        <w:t xml:space="preserve"> </w:t>
      </w:r>
      <w:r w:rsidR="007C18E2" w:rsidRPr="006B2E83">
        <w:rPr>
          <w:rFonts w:ascii="Arial" w:hAnsi="Arial" w:cs="Arial"/>
          <w:color w:val="auto"/>
          <w:sz w:val="22"/>
          <w:szCs w:val="22"/>
        </w:rPr>
        <w:t>amend</w:t>
      </w:r>
      <w:r w:rsidR="006B2E83" w:rsidRPr="006B2E83">
        <w:rPr>
          <w:rFonts w:ascii="Arial" w:hAnsi="Arial" w:cs="Arial"/>
          <w:color w:val="auto"/>
          <w:sz w:val="22"/>
          <w:szCs w:val="22"/>
        </w:rPr>
        <w:t>s</w:t>
      </w:r>
      <w:r w:rsidR="007C18E2" w:rsidRPr="006B2E83">
        <w:rPr>
          <w:rFonts w:ascii="Arial" w:hAnsi="Arial" w:cs="Arial"/>
          <w:color w:val="auto"/>
          <w:sz w:val="22"/>
          <w:szCs w:val="22"/>
        </w:rPr>
        <w:t xml:space="preserve"> </w:t>
      </w:r>
      <w:r w:rsidR="007C18E2" w:rsidRPr="006B2E83">
        <w:rPr>
          <w:rFonts w:ascii="Arial" w:hAnsi="Arial" w:cs="Arial"/>
          <w:sz w:val="22"/>
          <w:szCs w:val="22"/>
        </w:rPr>
        <w:t xml:space="preserve">the </w:t>
      </w:r>
      <w:r w:rsidR="007C18E2" w:rsidRPr="006B2E83">
        <w:rPr>
          <w:rFonts w:ascii="Arial" w:hAnsi="Arial" w:cs="Arial"/>
          <w:i/>
          <w:sz w:val="22"/>
          <w:szCs w:val="22"/>
        </w:rPr>
        <w:t xml:space="preserve">Industrial Relations Act 1999 </w:t>
      </w:r>
      <w:r w:rsidR="007C18E2" w:rsidRPr="006B2E83">
        <w:rPr>
          <w:rFonts w:ascii="Arial" w:hAnsi="Arial" w:cs="Arial"/>
          <w:sz w:val="22"/>
          <w:szCs w:val="22"/>
        </w:rPr>
        <w:t xml:space="preserve">to create a new industrial relations framework for the Queensland jurisdiction which will provide a simplified and flexible industrial relations system that is adaptable for local service delivery, innovation and productivity improvements. </w:t>
      </w:r>
    </w:p>
    <w:p w:rsidR="00833B55" w:rsidRPr="00833B55" w:rsidRDefault="00833B55" w:rsidP="00833B55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33B55">
        <w:rPr>
          <w:rFonts w:ascii="Arial" w:hAnsi="Arial" w:cs="Arial"/>
          <w:sz w:val="22"/>
          <w:szCs w:val="22"/>
        </w:rPr>
        <w:t xml:space="preserve">The Bill </w:t>
      </w:r>
      <w:r>
        <w:rPr>
          <w:rFonts w:ascii="Arial" w:hAnsi="Arial" w:cs="Arial"/>
          <w:sz w:val="22"/>
          <w:szCs w:val="22"/>
        </w:rPr>
        <w:t xml:space="preserve">also </w:t>
      </w:r>
      <w:r w:rsidRPr="00833B55">
        <w:rPr>
          <w:rFonts w:ascii="Arial" w:hAnsi="Arial" w:cs="Arial"/>
          <w:sz w:val="22"/>
          <w:szCs w:val="22"/>
        </w:rPr>
        <w:t>includes amendments:</w:t>
      </w:r>
    </w:p>
    <w:p w:rsidR="00833B55" w:rsidRPr="00833B55" w:rsidRDefault="006B2E83" w:rsidP="006B2E83">
      <w:pPr>
        <w:keepLines/>
        <w:numPr>
          <w:ilvl w:val="1"/>
          <w:numId w:val="3"/>
        </w:numPr>
        <w:tabs>
          <w:tab w:val="clear" w:pos="1174"/>
          <w:tab w:val="left" w:pos="840"/>
        </w:tabs>
        <w:spacing w:before="120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c</w:t>
      </w:r>
      <w:r w:rsidR="00833B55" w:rsidRPr="00833B55">
        <w:rPr>
          <w:rFonts w:ascii="Arial" w:hAnsi="Arial" w:cs="Arial"/>
          <w:sz w:val="22"/>
          <w:szCs w:val="22"/>
        </w:rPr>
        <w:t xml:space="preserve">hanges to </w:t>
      </w:r>
      <w:r>
        <w:rPr>
          <w:rFonts w:ascii="Arial" w:hAnsi="Arial" w:cs="Arial"/>
          <w:sz w:val="22"/>
          <w:szCs w:val="22"/>
        </w:rPr>
        <w:t xml:space="preserve">the </w:t>
      </w:r>
      <w:r w:rsidR="00833B55" w:rsidRPr="00833B55">
        <w:rPr>
          <w:rFonts w:ascii="Arial" w:hAnsi="Arial" w:cs="Arial"/>
          <w:sz w:val="22"/>
          <w:szCs w:val="22"/>
        </w:rPr>
        <w:t xml:space="preserve">Industrial Court of Queensland to transfer the administrative responsibility for the Court from the Vice President to the President; and </w:t>
      </w:r>
      <w:r>
        <w:rPr>
          <w:rFonts w:ascii="Arial" w:hAnsi="Arial" w:cs="Arial"/>
          <w:sz w:val="22"/>
          <w:szCs w:val="22"/>
        </w:rPr>
        <w:t xml:space="preserve">for </w:t>
      </w:r>
      <w:r w:rsidR="00833B55" w:rsidRPr="00833B55">
        <w:rPr>
          <w:rFonts w:ascii="Arial" w:hAnsi="Arial" w:cs="Arial"/>
          <w:sz w:val="22"/>
          <w:szCs w:val="22"/>
        </w:rPr>
        <w:t xml:space="preserve">the original jurisdiction of the Court, with the exception of stays, injunctive orders and referrals of questions of law by the </w:t>
      </w:r>
      <w:r>
        <w:rPr>
          <w:rFonts w:ascii="Arial" w:hAnsi="Arial" w:cs="Arial"/>
          <w:sz w:val="22"/>
          <w:szCs w:val="22"/>
        </w:rPr>
        <w:t>Queensland Industrial Relations Commission (</w:t>
      </w:r>
      <w:r w:rsidR="00833B55" w:rsidRPr="00833B55">
        <w:rPr>
          <w:rFonts w:ascii="Arial" w:hAnsi="Arial" w:cs="Arial"/>
          <w:sz w:val="22"/>
          <w:szCs w:val="22"/>
        </w:rPr>
        <w:t>QIRC</w:t>
      </w:r>
      <w:r>
        <w:rPr>
          <w:rFonts w:ascii="Arial" w:hAnsi="Arial" w:cs="Arial"/>
          <w:sz w:val="22"/>
          <w:szCs w:val="22"/>
        </w:rPr>
        <w:t>)</w:t>
      </w:r>
      <w:r w:rsidR="00833B55" w:rsidRPr="00833B5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to </w:t>
      </w:r>
      <w:r w:rsidR="00833B55" w:rsidRPr="00833B55">
        <w:rPr>
          <w:rFonts w:ascii="Arial" w:hAnsi="Arial" w:cs="Arial"/>
          <w:sz w:val="22"/>
          <w:szCs w:val="22"/>
        </w:rPr>
        <w:t>be transferred to the Industrial Magistrates’ Court and the QIRC.</w:t>
      </w:r>
    </w:p>
    <w:p w:rsidR="00833B55" w:rsidRPr="00833B55" w:rsidRDefault="006B2E83" w:rsidP="006B2E83">
      <w:pPr>
        <w:keepLines/>
        <w:numPr>
          <w:ilvl w:val="1"/>
          <w:numId w:val="3"/>
        </w:numPr>
        <w:tabs>
          <w:tab w:val="clear" w:pos="1174"/>
          <w:tab w:val="left" w:pos="840"/>
        </w:tabs>
        <w:spacing w:before="120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833B55" w:rsidRPr="00833B55">
        <w:rPr>
          <w:rFonts w:ascii="Arial" w:hAnsi="Arial" w:cs="Arial"/>
          <w:sz w:val="22"/>
          <w:szCs w:val="22"/>
        </w:rPr>
        <w:t xml:space="preserve">allow the Governor in Council to appoint a QIRC deputy president or a commissioner on a fixed term appointment of not less than one year; </w:t>
      </w:r>
    </w:p>
    <w:p w:rsidR="00833B55" w:rsidRPr="00833B55" w:rsidRDefault="006B2E83" w:rsidP="006B2E83">
      <w:pPr>
        <w:keepLines/>
        <w:numPr>
          <w:ilvl w:val="1"/>
          <w:numId w:val="3"/>
        </w:numPr>
        <w:tabs>
          <w:tab w:val="clear" w:pos="1174"/>
          <w:tab w:val="left" w:pos="840"/>
        </w:tabs>
        <w:spacing w:before="120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833B55" w:rsidRPr="00833B55">
        <w:rPr>
          <w:rFonts w:ascii="Arial" w:hAnsi="Arial" w:cs="Arial"/>
          <w:sz w:val="22"/>
          <w:szCs w:val="22"/>
        </w:rPr>
        <w:t>allow for applications for trading hours orders to be determined by a single member, except when the Vice President of the Commission considerers a Full Bench to be appropriate;</w:t>
      </w:r>
    </w:p>
    <w:p w:rsidR="00833B55" w:rsidRPr="00833B55" w:rsidRDefault="006B2E83" w:rsidP="006B2E83">
      <w:pPr>
        <w:keepLines/>
        <w:numPr>
          <w:ilvl w:val="1"/>
          <w:numId w:val="3"/>
        </w:numPr>
        <w:tabs>
          <w:tab w:val="clear" w:pos="1174"/>
          <w:tab w:val="left" w:pos="840"/>
        </w:tabs>
        <w:spacing w:before="120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833B55" w:rsidRPr="00833B55">
        <w:rPr>
          <w:rFonts w:ascii="Arial" w:hAnsi="Arial" w:cs="Arial"/>
          <w:sz w:val="22"/>
          <w:szCs w:val="22"/>
        </w:rPr>
        <w:t>prohibit the deduction of industrial organisation subscription fees from an employee’s wages;</w:t>
      </w:r>
      <w:r>
        <w:rPr>
          <w:rFonts w:ascii="Arial" w:hAnsi="Arial" w:cs="Arial"/>
          <w:sz w:val="22"/>
          <w:szCs w:val="22"/>
        </w:rPr>
        <w:t xml:space="preserve"> and</w:t>
      </w:r>
    </w:p>
    <w:p w:rsidR="00833B55" w:rsidRPr="009B0F45" w:rsidRDefault="006B2E83" w:rsidP="006B2E83">
      <w:pPr>
        <w:keepLines/>
        <w:numPr>
          <w:ilvl w:val="1"/>
          <w:numId w:val="3"/>
        </w:numPr>
        <w:tabs>
          <w:tab w:val="clear" w:pos="1174"/>
          <w:tab w:val="left" w:pos="840"/>
        </w:tabs>
        <w:spacing w:before="120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833B55" w:rsidRPr="00833B55">
        <w:rPr>
          <w:rFonts w:ascii="Arial" w:hAnsi="Arial" w:cs="Arial"/>
          <w:sz w:val="22"/>
          <w:szCs w:val="22"/>
        </w:rPr>
        <w:t>extinguish ob</w:t>
      </w:r>
      <w:r>
        <w:rPr>
          <w:rFonts w:ascii="Arial" w:hAnsi="Arial" w:cs="Arial"/>
          <w:sz w:val="22"/>
          <w:szCs w:val="22"/>
        </w:rPr>
        <w:t>solete certified agreements</w:t>
      </w:r>
      <w:r w:rsidR="00833B55" w:rsidRPr="00833B55">
        <w:rPr>
          <w:rFonts w:ascii="Arial" w:hAnsi="Arial" w:cs="Arial"/>
          <w:sz w:val="22"/>
          <w:szCs w:val="22"/>
        </w:rPr>
        <w:t>.</w:t>
      </w:r>
    </w:p>
    <w:bookmarkEnd w:id="0"/>
    <w:p w:rsidR="006F3D5B" w:rsidRPr="009B0F45" w:rsidRDefault="00E973BC" w:rsidP="006B2E83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B0F45">
        <w:rPr>
          <w:rFonts w:ascii="Arial" w:hAnsi="Arial" w:cs="Arial"/>
          <w:sz w:val="22"/>
          <w:szCs w:val="22"/>
          <w:u w:val="single"/>
        </w:rPr>
        <w:t>Cabinet approved</w:t>
      </w:r>
      <w:r w:rsidR="006F3D5B" w:rsidRPr="009B0F45">
        <w:rPr>
          <w:rFonts w:ascii="Arial" w:hAnsi="Arial" w:cs="Arial"/>
          <w:sz w:val="22"/>
          <w:szCs w:val="22"/>
        </w:rPr>
        <w:t xml:space="preserve"> that the </w:t>
      </w:r>
      <w:r w:rsidR="006F3D5B" w:rsidRPr="009B0F45">
        <w:rPr>
          <w:rFonts w:ascii="Arial" w:hAnsi="Arial" w:cs="Arial"/>
          <w:color w:val="auto"/>
          <w:sz w:val="22"/>
          <w:szCs w:val="22"/>
        </w:rPr>
        <w:t>Industrial Relations (Fair Work Harmonisation No. 2) and Other Acts Amendment Bill 2013 be introduced into the Legislative Assembly.</w:t>
      </w:r>
    </w:p>
    <w:p w:rsidR="00E973BC" w:rsidRPr="009B0F45" w:rsidRDefault="00E973BC" w:rsidP="006B2E83">
      <w:pPr>
        <w:keepLines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0F4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E272E" w:rsidRPr="009B0F45" w:rsidRDefault="00D9304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6F3D5B" w:rsidRPr="002F6314">
          <w:rPr>
            <w:rStyle w:val="Hyperlink"/>
            <w:rFonts w:ascii="Arial" w:hAnsi="Arial" w:cs="Arial"/>
            <w:sz w:val="22"/>
            <w:szCs w:val="22"/>
          </w:rPr>
          <w:t>Industrial Relations (Fair Work Harmonisation No. 2) and Other Acts Amendment Bill 2013</w:t>
        </w:r>
      </w:hyperlink>
    </w:p>
    <w:p w:rsidR="00E973BC" w:rsidRPr="009B0F45" w:rsidRDefault="00D9304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B2E83" w:rsidRPr="002F6314">
          <w:rPr>
            <w:rStyle w:val="Hyperlink"/>
            <w:rFonts w:ascii="Arial" w:hAnsi="Arial" w:cs="Arial"/>
            <w:sz w:val="22"/>
            <w:szCs w:val="22"/>
          </w:rPr>
          <w:t>Explanatory N</w:t>
        </w:r>
        <w:r w:rsidR="001E272E" w:rsidRPr="002F6314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sectPr w:rsidR="00E973BC" w:rsidRPr="009B0F45" w:rsidSect="006B2E83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EF" w:rsidRDefault="00A901EF" w:rsidP="00D6589B">
      <w:r>
        <w:separator/>
      </w:r>
    </w:p>
  </w:endnote>
  <w:endnote w:type="continuationSeparator" w:id="0">
    <w:p w:rsidR="00A901EF" w:rsidRDefault="00A901E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EF" w:rsidRDefault="00A901EF" w:rsidP="00D6589B">
      <w:r>
        <w:separator/>
      </w:r>
    </w:p>
  </w:footnote>
  <w:footnote w:type="continuationSeparator" w:id="0">
    <w:p w:rsidR="00A901EF" w:rsidRDefault="00A901E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12" w:rsidRPr="00937A4A" w:rsidRDefault="00F00212" w:rsidP="00F0021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00212" w:rsidRPr="00937A4A" w:rsidRDefault="00F00212" w:rsidP="00F0021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00212" w:rsidRPr="00937A4A" w:rsidRDefault="00F00212" w:rsidP="00F0021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2013</w:t>
    </w:r>
  </w:p>
  <w:p w:rsidR="00F00212" w:rsidRPr="001F2C43" w:rsidRDefault="00F00212" w:rsidP="00F00212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1F2C43">
      <w:rPr>
        <w:rFonts w:ascii="Arial" w:hAnsi="Arial" w:cs="Arial"/>
        <w:b/>
        <w:color w:val="auto"/>
        <w:sz w:val="22"/>
        <w:szCs w:val="22"/>
        <w:u w:val="single"/>
      </w:rPr>
      <w:t>Industrial Relations (Fair Work Harmonisation No. 2</w:t>
    </w:r>
    <w:r>
      <w:rPr>
        <w:rFonts w:ascii="Arial" w:hAnsi="Arial" w:cs="Arial"/>
        <w:b/>
        <w:color w:val="auto"/>
        <w:sz w:val="22"/>
        <w:szCs w:val="22"/>
        <w:u w:val="single"/>
      </w:rPr>
      <w:t xml:space="preserve">) and Other Acts Amendment Bill </w:t>
    </w:r>
    <w:r w:rsidRPr="001F2C43">
      <w:rPr>
        <w:rFonts w:ascii="Arial" w:hAnsi="Arial" w:cs="Arial"/>
        <w:b/>
        <w:color w:val="auto"/>
        <w:sz w:val="22"/>
        <w:szCs w:val="22"/>
        <w:u w:val="single"/>
      </w:rPr>
      <w:t>2013</w:t>
    </w:r>
  </w:p>
  <w:p w:rsidR="00F00212" w:rsidRPr="001F2C43" w:rsidRDefault="00F00212" w:rsidP="00F00212">
    <w:pPr>
      <w:tabs>
        <w:tab w:val="left" w:pos="1"/>
        <w:tab w:val="left" w:pos="390"/>
        <w:tab w:val="left" w:pos="1440"/>
        <w:tab w:val="left" w:pos="2160"/>
        <w:tab w:val="left" w:pos="4560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1F2C43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F00212" w:rsidRDefault="00F00212" w:rsidP="00F00212">
    <w:pPr>
      <w:pStyle w:val="Header"/>
      <w:rPr>
        <w:rFonts w:ascii="Arial" w:hAnsi="Arial" w:cs="Arial"/>
        <w:b/>
        <w:sz w:val="22"/>
        <w:szCs w:val="22"/>
        <w:u w:val="single"/>
      </w:rPr>
    </w:pPr>
    <w:r w:rsidRPr="001F2C43">
      <w:rPr>
        <w:rFonts w:ascii="Arial" w:hAnsi="Arial" w:cs="Arial"/>
        <w:b/>
        <w:sz w:val="22"/>
        <w:szCs w:val="22"/>
        <w:u w:val="single"/>
      </w:rPr>
      <w:t xml:space="preserve">Minister for Aboriginal and </w:t>
    </w:r>
    <w:smartTag w:uri="urn:schemas-microsoft-com:office:smarttags" w:element="place">
      <w:r w:rsidRPr="001F2C43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Pr="001F2C43">
      <w:rPr>
        <w:rFonts w:ascii="Arial" w:hAnsi="Arial" w:cs="Arial"/>
        <w:b/>
        <w:sz w:val="22"/>
        <w:szCs w:val="22"/>
        <w:u w:val="single"/>
      </w:rPr>
      <w:t xml:space="preserve"> Islander and Multicultural Affairs and Minister Assisting the Premier</w:t>
    </w:r>
  </w:p>
  <w:p w:rsidR="00F00212" w:rsidRDefault="00F00212" w:rsidP="00F0021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26C3B"/>
    <w:multiLevelType w:val="hybridMultilevel"/>
    <w:tmpl w:val="442A4B0E"/>
    <w:lvl w:ilvl="0" w:tplc="FCD8B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541811"/>
    <w:multiLevelType w:val="hybridMultilevel"/>
    <w:tmpl w:val="D040CD6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3660"/>
    <w:rsid w:val="0004046F"/>
    <w:rsid w:val="000430DD"/>
    <w:rsid w:val="00073ABA"/>
    <w:rsid w:val="00080F8F"/>
    <w:rsid w:val="0008441A"/>
    <w:rsid w:val="0008575A"/>
    <w:rsid w:val="000C3B22"/>
    <w:rsid w:val="0010223B"/>
    <w:rsid w:val="00102858"/>
    <w:rsid w:val="001318FA"/>
    <w:rsid w:val="00140936"/>
    <w:rsid w:val="00174117"/>
    <w:rsid w:val="001976D1"/>
    <w:rsid w:val="001E209B"/>
    <w:rsid w:val="001E272E"/>
    <w:rsid w:val="001E7127"/>
    <w:rsid w:val="001F2C43"/>
    <w:rsid w:val="0021344B"/>
    <w:rsid w:val="002B396F"/>
    <w:rsid w:val="002D649F"/>
    <w:rsid w:val="002F6314"/>
    <w:rsid w:val="00373D54"/>
    <w:rsid w:val="003A13A1"/>
    <w:rsid w:val="003B5871"/>
    <w:rsid w:val="003F362F"/>
    <w:rsid w:val="004E3AE1"/>
    <w:rsid w:val="00501C66"/>
    <w:rsid w:val="0050474C"/>
    <w:rsid w:val="00550873"/>
    <w:rsid w:val="00565061"/>
    <w:rsid w:val="00575237"/>
    <w:rsid w:val="005C316F"/>
    <w:rsid w:val="005C6997"/>
    <w:rsid w:val="00614137"/>
    <w:rsid w:val="00654B0A"/>
    <w:rsid w:val="006B2E83"/>
    <w:rsid w:val="006F3D5B"/>
    <w:rsid w:val="00732E22"/>
    <w:rsid w:val="00740562"/>
    <w:rsid w:val="00757B12"/>
    <w:rsid w:val="007C18E2"/>
    <w:rsid w:val="0080382D"/>
    <w:rsid w:val="00821E64"/>
    <w:rsid w:val="00833B55"/>
    <w:rsid w:val="00884494"/>
    <w:rsid w:val="008A4523"/>
    <w:rsid w:val="008F44CD"/>
    <w:rsid w:val="0093748E"/>
    <w:rsid w:val="009B0F45"/>
    <w:rsid w:val="00A527A5"/>
    <w:rsid w:val="00A841F4"/>
    <w:rsid w:val="00A901EF"/>
    <w:rsid w:val="00AD7250"/>
    <w:rsid w:val="00AE69F0"/>
    <w:rsid w:val="00B06CA7"/>
    <w:rsid w:val="00C07656"/>
    <w:rsid w:val="00C40FB0"/>
    <w:rsid w:val="00C75E67"/>
    <w:rsid w:val="00CB1501"/>
    <w:rsid w:val="00CC289A"/>
    <w:rsid w:val="00CE6FBA"/>
    <w:rsid w:val="00CF0D8A"/>
    <w:rsid w:val="00D30F63"/>
    <w:rsid w:val="00D46C73"/>
    <w:rsid w:val="00D6589B"/>
    <w:rsid w:val="00D75134"/>
    <w:rsid w:val="00D93047"/>
    <w:rsid w:val="00D96E12"/>
    <w:rsid w:val="00DA33CE"/>
    <w:rsid w:val="00DB6FE7"/>
    <w:rsid w:val="00DE61EC"/>
    <w:rsid w:val="00E40004"/>
    <w:rsid w:val="00E973BC"/>
    <w:rsid w:val="00EC2885"/>
    <w:rsid w:val="00F00212"/>
    <w:rsid w:val="00F10DF9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1E272E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rFonts w:eastAsia="Times New Roman"/>
      <w:b/>
      <w:color w:val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locked/>
    <w:rsid w:val="001E272E"/>
    <w:rPr>
      <w:b/>
      <w:sz w:val="24"/>
      <w:lang w:val="en-GB" w:eastAsia="en-AU" w:bidi="ar-SA"/>
    </w:rPr>
  </w:style>
  <w:style w:type="character" w:styleId="Hyperlink">
    <w:name w:val="Hyperlink"/>
    <w:rsid w:val="002F6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1343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1578</CharactersWithSpaces>
  <SharedDoc>false</SharedDoc>
  <HyperlinkBase>https://www.cabinet.qld.gov.au/documents/2013/Oct/Fair work harmon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2014-01-29T00:50:00Z</cp:lastPrinted>
  <dcterms:created xsi:type="dcterms:W3CDTF">2017-10-25T00:54:00Z</dcterms:created>
  <dcterms:modified xsi:type="dcterms:W3CDTF">2018-03-06T01:22:00Z</dcterms:modified>
  <cp:category>Legislation,Industrial_Relations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-288942127</vt:i4>
  </property>
  <property fmtid="{D5CDD505-2E9C-101B-9397-08002B2CF9AE}" pid="3" name="_NewReviewCycle">
    <vt:lpwstr/>
  </property>
  <property fmtid="{D5CDD505-2E9C-101B-9397-08002B2CF9AE}" pid="4" name="_PreviousAdHocReviewCycleID">
    <vt:i4>1255004697</vt:i4>
  </property>
  <property fmtid="{D5CDD505-2E9C-101B-9397-08002B2CF9AE}" pid="5" name="_ReviewingToolsShownOnce">
    <vt:lpwstr/>
  </property>
</Properties>
</file>